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Castle Point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Castle Point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Castle Point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Castle Point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Castle Point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Castle Point are estimated to have a score of 1-2 on the PGSI (low-risk gambling), whilst </w:t>
      </w:r>
      <w:r w:rsidRPr="00773DF7">
        <w:rPr>
          <w:rFonts w:ascii="Libre Franklin Light" w:hAnsi="Libre Franklin Light" w:cs="Calibri Light"/>
          <w:b/>
          <w:bCs/>
          <w:color w:val="C45911" w:themeColor="accent2" w:themeShade="BF"/>
        </w:rPr>
        <w:t xml:space="preserve">2.4%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58.8% </w:t>
      </w:r>
      <w:r w:rsidRPr="004747BF">
        <w:rPr>
          <w:rFonts w:ascii="Libre Franklin Light" w:eastAsia="Times New Roman" w:hAnsi="Libre Franklin Light" w:cs="Calibri Light"/>
        </w:rPr>
        <w:t xml:space="preserve">of those respondents classified as PGSI 8+ in Castle Point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Castle Point is estimated to be </w:t>
      </w:r>
      <w:r w:rsidRPr="00773DF7">
        <w:rPr>
          <w:rFonts w:ascii="Libre Franklin Light" w:eastAsia="Times New Roman" w:hAnsi="Libre Franklin Light" w:cs="Calibri Light"/>
          <w:b/>
          <w:bCs/>
          <w:color w:val="C45911" w:themeColor="accent2" w:themeShade="BF"/>
        </w:rPr>
        <w:t xml:space="preserve">£953,058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Castle Point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Castle Point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Castle Point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Castle Point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stle Poin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Castle Point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stle Poin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Castle Point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Castle Point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stle Poin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Castle Point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Castle Point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Castle Point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Castle Point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Castle Point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Castle Point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£953,058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Castle Point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£15,524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£321,040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£22,998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£6,468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£11,858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£575,170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£953,058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Castle Point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Castle Point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Castle Point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Castle Point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Castle Point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Castle Point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Castle Point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Castle Point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Castle Point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Castle Point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Castle Point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Castle Point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996BA8D-120F-4C6D-AC26-C7A23E11527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